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3984AF">
      <w:pPr>
        <w:keepNext w:val="0"/>
        <w:keepLines w:val="0"/>
        <w:pageBreakBefore w:val="0"/>
        <w:numPr>
          <w:ilvl w:val="0"/>
          <w:numId w:val="0"/>
        </w:numPr>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color w:val="auto"/>
          <w:spacing w:val="-17"/>
          <w:kern w:val="0"/>
          <w:sz w:val="32"/>
          <w:szCs w:val="32"/>
          <w:highlight w:val="none"/>
          <w:lang w:val="en-US" w:eastAsia="zh-CN"/>
        </w:rPr>
      </w:pPr>
      <w:r>
        <w:rPr>
          <w:rFonts w:hint="default" w:ascii="Times New Roman" w:hAnsi="Times New Roman" w:eastAsia="黑体" w:cs="Times New Roman"/>
          <w:color w:val="auto"/>
          <w:spacing w:val="-17"/>
          <w:kern w:val="0"/>
          <w:sz w:val="32"/>
          <w:szCs w:val="32"/>
          <w:highlight w:val="none"/>
          <w:lang w:val="en-US" w:eastAsia="zh-CN"/>
        </w:rPr>
        <w:t>附件</w:t>
      </w:r>
      <w:r>
        <w:rPr>
          <w:rFonts w:hint="eastAsia" w:ascii="Times New Roman" w:hAnsi="Times New Roman" w:eastAsia="黑体" w:cs="Times New Roman"/>
          <w:color w:val="auto"/>
          <w:spacing w:val="-17"/>
          <w:kern w:val="0"/>
          <w:sz w:val="32"/>
          <w:szCs w:val="32"/>
          <w:highlight w:val="none"/>
          <w:lang w:val="en-US" w:eastAsia="zh-CN"/>
        </w:rPr>
        <w:t>3</w:t>
      </w:r>
    </w:p>
    <w:p w14:paraId="6EE4A141">
      <w:pPr>
        <w:keepNext w:val="0"/>
        <w:keepLines w:val="0"/>
        <w:pageBreakBefore w:val="0"/>
        <w:widowControl w:val="0"/>
        <w:numPr>
          <w:ilvl w:val="-1"/>
          <w:numId w:val="0"/>
        </w:numPr>
        <w:shd w:val="clear" w:color="auto" w:fill="auto"/>
        <w:kinsoku/>
        <w:wordWrap/>
        <w:overflowPunct/>
        <w:topLinePunct w:val="0"/>
        <w:autoSpaceDE/>
        <w:autoSpaceDN/>
        <w:bidi w:val="0"/>
        <w:adjustRightInd/>
        <w:snapToGrid/>
        <w:spacing w:line="560" w:lineRule="exact"/>
        <w:ind w:left="0" w:leftChars="0" w:firstLine="0" w:firstLineChars="0"/>
        <w:jc w:val="center"/>
        <w:textAlignment w:val="auto"/>
        <w:outlineLvl w:val="9"/>
        <w:rPr>
          <w:rFonts w:hint="eastAsia"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宜宾筠连</w:t>
      </w:r>
      <w:r>
        <w:rPr>
          <w:rFonts w:hint="default" w:ascii="方正小标宋简体" w:hAnsi="方正小标宋简体" w:eastAsia="方正小标宋简体" w:cs="方正小标宋简体"/>
          <w:b w:val="0"/>
          <w:bCs w:val="0"/>
          <w:color w:val="auto"/>
          <w:sz w:val="44"/>
          <w:szCs w:val="44"/>
          <w:highlight w:val="none"/>
          <w:lang w:val="en-US" w:eastAsia="zh-CN"/>
        </w:rPr>
        <w:t>县属</w:t>
      </w:r>
      <w:r>
        <w:rPr>
          <w:rFonts w:hint="eastAsia" w:ascii="方正小标宋简体" w:hAnsi="方正小标宋简体" w:eastAsia="方正小标宋简体" w:cs="方正小标宋简体"/>
          <w:b w:val="0"/>
          <w:bCs w:val="0"/>
          <w:color w:val="auto"/>
          <w:sz w:val="44"/>
          <w:szCs w:val="44"/>
          <w:highlight w:val="none"/>
          <w:lang w:val="en-US" w:eastAsia="zh-CN"/>
        </w:rPr>
        <w:t>国有企业简介</w:t>
      </w:r>
    </w:p>
    <w:p w14:paraId="60C034B2">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hint="default" w:ascii="Times New Roman" w:hAnsi="Times New Roman" w:eastAsia="楷体_GB2312" w:cs="Times New Roman"/>
          <w:color w:val="auto"/>
          <w:sz w:val="32"/>
          <w:szCs w:val="32"/>
          <w:highlight w:val="none"/>
          <w:lang w:val="en-US" w:eastAsia="zh-CN"/>
        </w:rPr>
      </w:pPr>
    </w:p>
    <w:p w14:paraId="7D1B87CA">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0" w:firstLineChars="200"/>
        <w:jc w:val="both"/>
        <w:textAlignment w:val="auto"/>
        <w:outlineLvl w:val="9"/>
        <w:rPr>
          <w:rFonts w:hint="default" w:ascii="Times New Roman" w:hAnsi="Times New Roman" w:eastAsia="楷体_GB2312" w:cs="Times New Roman"/>
          <w:color w:val="auto"/>
          <w:sz w:val="32"/>
          <w:szCs w:val="32"/>
          <w:highlight w:val="none"/>
          <w:lang w:val="en-US" w:eastAsia="zh-CN"/>
        </w:rPr>
      </w:pPr>
      <w:r>
        <w:rPr>
          <w:rFonts w:hint="default" w:ascii="Times New Roman" w:hAnsi="Times New Roman" w:eastAsia="楷体_GB2312" w:cs="Times New Roman"/>
          <w:color w:val="auto"/>
          <w:sz w:val="32"/>
          <w:szCs w:val="32"/>
          <w:highlight w:val="none"/>
          <w:lang w:val="en-US" w:eastAsia="zh-CN"/>
        </w:rPr>
        <w:t>（一）</w:t>
      </w:r>
      <w:r>
        <w:rPr>
          <w:rFonts w:hint="default" w:ascii="Times New Roman" w:hAnsi="Times New Roman" w:eastAsia="楷体_GB2312" w:cs="Times New Roman"/>
          <w:color w:val="auto"/>
          <w:sz w:val="32"/>
          <w:szCs w:val="32"/>
          <w:highlight w:val="none"/>
        </w:rPr>
        <w:t>筠连发展控股集团有限公司</w:t>
      </w:r>
    </w:p>
    <w:p w14:paraId="261446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auto"/>
          <w:sz w:val="32"/>
          <w:szCs w:val="32"/>
          <w:highlight w:val="none"/>
          <w:lang w:val="en-US" w:eastAsia="zh-CN"/>
        </w:rPr>
      </w:pPr>
      <w:r>
        <w:rPr>
          <w:rFonts w:hint="eastAsia" w:ascii="仿宋_GB2312" w:hAnsi="仿宋_GB2312" w:eastAsia="仿宋_GB2312" w:cs="仿宋_GB2312"/>
          <w:color w:val="auto"/>
          <w:sz w:val="32"/>
          <w:szCs w:val="32"/>
          <w:highlight w:val="none"/>
        </w:rPr>
        <w:t>筠连发展控股集团有限公司（简称</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筠发展集团</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）为</w:t>
      </w:r>
      <w:r>
        <w:rPr>
          <w:rFonts w:hint="eastAsia" w:ascii="仿宋_GB2312" w:hAnsi="仿宋_GB2312" w:eastAsia="仿宋_GB2312" w:cs="仿宋_GB2312"/>
          <w:color w:val="auto"/>
          <w:sz w:val="32"/>
          <w:szCs w:val="32"/>
          <w:highlight w:val="none"/>
          <w:lang w:val="en-US" w:eastAsia="zh-CN"/>
        </w:rPr>
        <w:t>筠连县国资国企服务中心</w:t>
      </w:r>
      <w:r>
        <w:rPr>
          <w:rFonts w:hint="eastAsia" w:ascii="仿宋_GB2312" w:hAnsi="仿宋_GB2312" w:eastAsia="仿宋_GB2312" w:cs="仿宋_GB2312"/>
          <w:color w:val="auto"/>
          <w:sz w:val="32"/>
          <w:szCs w:val="32"/>
          <w:highlight w:val="none"/>
        </w:rPr>
        <w:t>代县政府履行出资人职责的县属国有一级集团公司</w:t>
      </w:r>
      <w:r>
        <w:rPr>
          <w:rFonts w:hint="eastAsia" w:ascii="仿宋_GB2312" w:hAnsi="仿宋_GB2312" w:eastAsia="仿宋_GB2312" w:cs="仿宋_GB2312"/>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成立于2016年，注册资本金15亿</w:t>
      </w:r>
      <w:r>
        <w:rPr>
          <w:rFonts w:hint="eastAsia" w:ascii="仿宋_GB2312" w:hAnsi="仿宋_GB2312" w:eastAsia="仿宋_GB2312" w:cs="仿宋_GB2312"/>
          <w:color w:val="auto"/>
          <w:sz w:val="32"/>
          <w:szCs w:val="32"/>
          <w:highlight w:val="none"/>
          <w:lang w:val="en-US" w:eastAsia="zh-CN"/>
        </w:rPr>
        <w:t>元，</w:t>
      </w:r>
      <w:r>
        <w:rPr>
          <w:rFonts w:hint="eastAsia" w:ascii="Times New Roman" w:hAnsi="Times New Roman" w:eastAsia="仿宋_GB2312" w:cs="Times New Roman"/>
          <w:color w:val="auto"/>
          <w:sz w:val="32"/>
          <w:szCs w:val="32"/>
          <w:highlight w:val="none"/>
        </w:rPr>
        <w:t>主体信用</w:t>
      </w:r>
      <w:r>
        <w:rPr>
          <w:rFonts w:hint="eastAsia" w:ascii="Times New Roman" w:hAnsi="Times New Roman" w:eastAsia="仿宋_GB2312" w:cs="Times New Roman"/>
          <w:color w:val="auto"/>
          <w:sz w:val="32"/>
          <w:szCs w:val="32"/>
          <w:highlight w:val="none"/>
          <w:lang w:val="en-US" w:eastAsia="zh-CN"/>
        </w:rPr>
        <w:t>等</w:t>
      </w:r>
      <w:r>
        <w:rPr>
          <w:rFonts w:hint="eastAsia" w:ascii="Times New Roman" w:hAnsi="Times New Roman" w:eastAsia="仿宋_GB2312" w:cs="Times New Roman"/>
          <w:color w:val="auto"/>
          <w:sz w:val="32"/>
          <w:szCs w:val="32"/>
          <w:highlight w:val="none"/>
        </w:rPr>
        <w:t>级</w:t>
      </w:r>
      <w:r>
        <w:rPr>
          <w:rFonts w:hint="eastAsia" w:ascii="仿宋_GB2312" w:hAnsi="仿宋_GB2312" w:eastAsia="仿宋_GB2312" w:cs="仿宋_GB2312"/>
          <w:color w:val="auto"/>
          <w:sz w:val="32"/>
          <w:szCs w:val="32"/>
          <w:highlight w:val="none"/>
          <w:lang w:val="en-US" w:eastAsia="zh-CN"/>
        </w:rPr>
        <w:t>为</w:t>
      </w:r>
      <w:r>
        <w:rPr>
          <w:rFonts w:hint="eastAsia" w:ascii="Times New Roman" w:hAnsi="Times New Roman" w:eastAsia="仿宋_GB2312" w:cs="Times New Roman"/>
          <w:color w:val="auto"/>
          <w:sz w:val="32"/>
          <w:szCs w:val="32"/>
          <w:highlight w:val="none"/>
        </w:rPr>
        <w:t>AA</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截至</w:t>
      </w:r>
      <w:r>
        <w:rPr>
          <w:rFonts w:hint="eastAsia" w:ascii="Times New Roman" w:hAnsi="Times New Roman" w:eastAsia="仿宋_GB2312" w:cs="Times New Roman"/>
          <w:color w:val="auto"/>
          <w:sz w:val="32"/>
          <w:szCs w:val="32"/>
          <w:highlight w:val="none"/>
          <w:lang w:val="en-US" w:eastAsia="zh-CN"/>
        </w:rPr>
        <w:t>2025年8月，集团资产总规模达99.64亿</w:t>
      </w:r>
      <w:r>
        <w:rPr>
          <w:rFonts w:hint="eastAsia" w:ascii="仿宋_GB2312" w:hAnsi="仿宋_GB2312" w:eastAsia="仿宋_GB2312" w:cs="仿宋_GB2312"/>
          <w:color w:val="auto"/>
          <w:sz w:val="32"/>
          <w:szCs w:val="32"/>
          <w:highlight w:val="none"/>
          <w:lang w:val="en-US" w:eastAsia="zh-CN"/>
        </w:rPr>
        <w:t>元。</w:t>
      </w:r>
      <w:r>
        <w:rPr>
          <w:rFonts w:hint="eastAsia" w:ascii="仿宋_GB2312" w:hAnsi="仿宋_GB2312" w:eastAsia="仿宋_GB2312" w:cs="仿宋_GB2312"/>
          <w:color w:val="auto"/>
          <w:sz w:val="32"/>
          <w:szCs w:val="32"/>
          <w:highlight w:val="none"/>
        </w:rPr>
        <w:t>主要负责根据授权管理体系对二级集团公司履行出资人职责</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主要负责统筹管理县</w:t>
      </w:r>
      <w:r>
        <w:rPr>
          <w:rFonts w:hint="eastAsia" w:ascii="仿宋_GB2312" w:hAnsi="仿宋_GB2312" w:eastAsia="仿宋_GB2312" w:cs="仿宋_GB2312"/>
          <w:color w:val="auto"/>
          <w:sz w:val="32"/>
          <w:szCs w:val="32"/>
          <w:highlight w:val="none"/>
        </w:rPr>
        <w:t>属国有企业资金池；协调并指导全县国有企业开展项目投资、融资、建设、资产运营等</w:t>
      </w:r>
      <w:r>
        <w:rPr>
          <w:rFonts w:hint="eastAsia" w:ascii="Times New Roman" w:hAnsi="Times New Roman" w:eastAsia="仿宋_GB2312" w:cs="Times New Roman"/>
          <w:color w:val="auto"/>
          <w:sz w:val="32"/>
          <w:szCs w:val="32"/>
          <w:highlight w:val="none"/>
        </w:rPr>
        <w:t>。</w:t>
      </w:r>
    </w:p>
    <w:p w14:paraId="58F47131">
      <w:pPr>
        <w:keepNext w:val="0"/>
        <w:keepLines w:val="0"/>
        <w:pageBreakBefore w:val="0"/>
        <w:widowControl/>
        <w:numPr>
          <w:ilvl w:val="-1"/>
          <w:numId w:val="0"/>
        </w:numPr>
        <w:shd w:val="clear" w:color="auto" w:fill="auto"/>
        <w:kinsoku/>
        <w:wordWrap/>
        <w:overflowPunct/>
        <w:topLinePunct w:val="0"/>
        <w:autoSpaceDE/>
        <w:autoSpaceDN/>
        <w:bidi w:val="0"/>
        <w:adjustRightInd/>
        <w:snapToGrid/>
        <w:spacing w:line="560" w:lineRule="exact"/>
        <w:ind w:left="0" w:firstLine="640" w:firstLineChars="200"/>
        <w:jc w:val="both"/>
        <w:textAlignment w:val="auto"/>
        <w:outlineLvl w:val="9"/>
        <w:rPr>
          <w:rFonts w:hint="default" w:ascii="Times New Roman" w:hAnsi="Times New Roman" w:eastAsia="楷体_GB2312" w:cs="Times New Roman"/>
          <w:color w:val="auto"/>
          <w:kern w:val="0"/>
          <w:sz w:val="32"/>
          <w:szCs w:val="32"/>
          <w:highlight w:val="none"/>
          <w:lang w:bidi="ar"/>
        </w:rPr>
      </w:pPr>
      <w:r>
        <w:rPr>
          <w:rFonts w:hint="default" w:ascii="Times New Roman" w:hAnsi="Times New Roman" w:eastAsia="楷体_GB2312" w:cs="Times New Roman"/>
          <w:color w:val="auto"/>
          <w:kern w:val="0"/>
          <w:sz w:val="32"/>
          <w:szCs w:val="32"/>
          <w:highlight w:val="none"/>
          <w:lang w:bidi="ar"/>
        </w:rPr>
        <w:t>（</w:t>
      </w:r>
      <w:r>
        <w:rPr>
          <w:rFonts w:hint="default" w:ascii="Times New Roman" w:hAnsi="Times New Roman" w:eastAsia="楷体_GB2312" w:cs="Times New Roman"/>
          <w:color w:val="auto"/>
          <w:kern w:val="0"/>
          <w:sz w:val="32"/>
          <w:szCs w:val="32"/>
          <w:highlight w:val="none"/>
          <w:lang w:val="en-US" w:eastAsia="zh-CN" w:bidi="ar"/>
        </w:rPr>
        <w:t>二</w:t>
      </w:r>
      <w:r>
        <w:rPr>
          <w:rFonts w:hint="default" w:ascii="Times New Roman" w:hAnsi="Times New Roman" w:eastAsia="楷体_GB2312" w:cs="Times New Roman"/>
          <w:color w:val="auto"/>
          <w:kern w:val="0"/>
          <w:sz w:val="32"/>
          <w:szCs w:val="32"/>
          <w:highlight w:val="none"/>
          <w:lang w:bidi="ar"/>
        </w:rPr>
        <w:t>）</w:t>
      </w:r>
      <w:r>
        <w:rPr>
          <w:rFonts w:hint="default" w:ascii="Times New Roman" w:hAnsi="Times New Roman" w:eastAsia="楷体_GB2312" w:cs="Times New Roman"/>
          <w:color w:val="auto"/>
          <w:kern w:val="0"/>
          <w:sz w:val="32"/>
          <w:szCs w:val="32"/>
          <w:highlight w:val="none"/>
          <w:lang w:val="en-US" w:eastAsia="zh-CN"/>
        </w:rPr>
        <w:t>筠连城市和交通建设集团有限公司</w:t>
      </w:r>
    </w:p>
    <w:p w14:paraId="324E94DD">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highlight w:val="none"/>
        </w:rPr>
      </w:pPr>
      <w:r>
        <w:rPr>
          <w:rFonts w:hint="eastAsia" w:ascii="仿宋_GB2312" w:hAnsi="仿宋_GB2312" w:eastAsia="仿宋_GB2312" w:cs="仿宋_GB2312"/>
          <w:color w:val="auto"/>
          <w:sz w:val="32"/>
          <w:szCs w:val="32"/>
          <w:highlight w:val="none"/>
        </w:rPr>
        <w:t>筠连城市和交通建设集团有限公司（简称</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县城交建集团</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）为</w:t>
      </w:r>
      <w:r>
        <w:rPr>
          <w:rFonts w:hint="eastAsia" w:ascii="仿宋_GB2312" w:hAnsi="仿宋_GB2312" w:eastAsia="仿宋_GB2312" w:cs="仿宋_GB2312"/>
          <w:color w:val="auto"/>
          <w:sz w:val="32"/>
          <w:szCs w:val="32"/>
          <w:highlight w:val="none"/>
          <w:lang w:val="en-US" w:eastAsia="zh-CN"/>
        </w:rPr>
        <w:t>筠连县国资国企服务中心</w:t>
      </w:r>
      <w:r>
        <w:rPr>
          <w:rFonts w:hint="eastAsia" w:ascii="仿宋_GB2312" w:hAnsi="仿宋_GB2312" w:eastAsia="仿宋_GB2312" w:cs="仿宋_GB2312"/>
          <w:color w:val="auto"/>
          <w:sz w:val="32"/>
          <w:szCs w:val="32"/>
          <w:highlight w:val="none"/>
        </w:rPr>
        <w:t>代县政府履行出资人职责的县属国有一级集团公司</w:t>
      </w:r>
      <w:r>
        <w:rPr>
          <w:rFonts w:hint="eastAsia" w:ascii="仿宋_GB2312" w:hAnsi="仿宋_GB2312" w:eastAsia="仿宋_GB2312" w:cs="仿宋_GB2312"/>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成立于2019年，注册资本金10亿元</w:t>
      </w: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截至2025年8月，集团资产总规模达240.88亿元</w:t>
      </w:r>
      <w:r>
        <w:rPr>
          <w:rFonts w:hint="eastAsia" w:ascii="仿宋_GB2312" w:hAnsi="仿宋_GB2312" w:eastAsia="仿宋_GB2312" w:cs="仿宋_GB2312"/>
          <w:color w:val="auto"/>
          <w:sz w:val="32"/>
          <w:szCs w:val="32"/>
          <w:highlight w:val="none"/>
        </w:rPr>
        <w:t>。主要负责全县城镇和交通基础设施投资建设和运营维护</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负责工程建设、工程咨询设计服务、资源开发、房地产开发、代建服务</w:t>
      </w:r>
      <w:r>
        <w:rPr>
          <w:rFonts w:hint="eastAsia" w:ascii="仿宋_GB2312" w:hAnsi="仿宋_GB2312" w:eastAsia="仿宋_GB2312" w:cs="仿宋_GB2312"/>
          <w:color w:val="auto"/>
          <w:sz w:val="32"/>
          <w:szCs w:val="32"/>
          <w:highlight w:val="none"/>
          <w:lang w:val="en-US" w:eastAsia="zh-CN"/>
        </w:rPr>
        <w:t>等</w:t>
      </w:r>
      <w:r>
        <w:rPr>
          <w:rFonts w:hint="eastAsia" w:ascii="Times New Roman" w:hAnsi="Times New Roman" w:eastAsia="仿宋_GB2312" w:cs="Times New Roman"/>
          <w:color w:val="auto"/>
          <w:sz w:val="32"/>
          <w:szCs w:val="32"/>
          <w:highlight w:val="none"/>
        </w:rPr>
        <w:t>。</w:t>
      </w:r>
    </w:p>
    <w:p w14:paraId="1187257C">
      <w:pPr>
        <w:pStyle w:val="2"/>
        <w:keepNext w:val="0"/>
        <w:keepLines w:val="0"/>
        <w:pageBreakBefore w:val="0"/>
        <w:widowControl w:val="0"/>
        <w:shd w:val="clear" w:color="auto" w:fill="auto"/>
        <w:kinsoku/>
        <w:wordWrap/>
        <w:overflowPunct/>
        <w:topLinePunct w:val="0"/>
        <w:autoSpaceDE/>
        <w:autoSpaceDN/>
        <w:bidi w:val="0"/>
        <w:adjustRightInd/>
        <w:snapToGrid/>
        <w:spacing w:line="560" w:lineRule="exact"/>
        <w:ind w:left="0" w:firstLine="640" w:firstLineChars="200"/>
        <w:jc w:val="both"/>
        <w:textAlignment w:val="auto"/>
        <w:outlineLvl w:val="9"/>
        <w:rPr>
          <w:rFonts w:hint="default" w:ascii="Times New Roman" w:hAnsi="Times New Roman" w:eastAsia="楷体_GB2312" w:cs="Times New Roman"/>
          <w:color w:val="auto"/>
          <w:kern w:val="0"/>
          <w:sz w:val="32"/>
          <w:szCs w:val="32"/>
          <w:highlight w:val="none"/>
          <w:shd w:val="clear"/>
          <w:lang w:val="en-US" w:eastAsia="zh-CN" w:bidi="ar-SA"/>
        </w:rPr>
      </w:pPr>
      <w:r>
        <w:rPr>
          <w:rFonts w:hint="default" w:ascii="Times New Roman" w:hAnsi="Times New Roman" w:eastAsia="楷体_GB2312" w:cs="Times New Roman"/>
          <w:color w:val="auto"/>
          <w:kern w:val="0"/>
          <w:sz w:val="32"/>
          <w:szCs w:val="32"/>
          <w:highlight w:val="none"/>
          <w:shd w:val="clear" w:color="auto" w:fill="FFFFFF"/>
          <w:lang w:val="en-US" w:eastAsia="zh-CN" w:bidi="ar-SA"/>
        </w:rPr>
        <w:t>（</w:t>
      </w:r>
      <w:r>
        <w:rPr>
          <w:rFonts w:hint="default" w:ascii="Times New Roman" w:hAnsi="Times New Roman" w:eastAsia="楷体_GB2312" w:cs="Times New Roman"/>
          <w:color w:val="auto"/>
          <w:kern w:val="0"/>
          <w:sz w:val="32"/>
          <w:szCs w:val="32"/>
          <w:highlight w:val="none"/>
          <w:shd w:val="clear"/>
          <w:lang w:val="en-US" w:eastAsia="zh-CN" w:bidi="ar-SA"/>
        </w:rPr>
        <w:t>三</w:t>
      </w:r>
      <w:r>
        <w:rPr>
          <w:rFonts w:hint="default" w:ascii="Times New Roman" w:hAnsi="Times New Roman" w:eastAsia="楷体_GB2312" w:cs="Times New Roman"/>
          <w:color w:val="auto"/>
          <w:kern w:val="0"/>
          <w:sz w:val="32"/>
          <w:szCs w:val="32"/>
          <w:highlight w:val="none"/>
          <w:shd w:val="clear" w:color="auto" w:fill="FFFFFF"/>
          <w:lang w:val="en-US" w:eastAsia="zh-CN" w:bidi="ar-SA"/>
        </w:rPr>
        <w:t>）</w:t>
      </w:r>
      <w:r>
        <w:rPr>
          <w:rFonts w:hint="default" w:ascii="Times New Roman" w:hAnsi="Times New Roman" w:eastAsia="楷体_GB2312" w:cs="Times New Roman"/>
          <w:color w:val="auto"/>
          <w:kern w:val="0"/>
          <w:sz w:val="32"/>
          <w:szCs w:val="32"/>
          <w:highlight w:val="none"/>
        </w:rPr>
        <w:t>筠连农旅商贸集团有限公司</w:t>
      </w:r>
    </w:p>
    <w:p w14:paraId="22EDA0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sz w:val="32"/>
          <w:szCs w:val="32"/>
          <w:highlight w:val="none"/>
        </w:rPr>
        <w:t>筠连农旅商贸集团有限公司（简称</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县农旅商贸集团</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）为筠连发展控股集团有限公司履行出资人职责的县属国有二级集团公司</w:t>
      </w:r>
      <w:r>
        <w:rPr>
          <w:rFonts w:hint="eastAsia" w:ascii="仿宋_GB2312" w:hAnsi="仿宋_GB2312" w:eastAsia="仿宋_GB2312" w:cs="仿宋_GB2312"/>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成立于2021年，注册资本金5亿元</w:t>
      </w: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截至2025年8月，集团资产总规模达124.48亿元</w:t>
      </w:r>
      <w:r>
        <w:rPr>
          <w:rFonts w:hint="eastAsia" w:ascii="Times New Roman" w:hAnsi="Times New Roman" w:eastAsia="仿宋_GB2312" w:cs="Times New Roman"/>
          <w:color w:val="auto"/>
          <w:sz w:val="32"/>
          <w:szCs w:val="32"/>
          <w:highlight w:val="none"/>
        </w:rPr>
        <w:t>。</w:t>
      </w:r>
      <w:r>
        <w:rPr>
          <w:rFonts w:hint="eastAsia" w:ascii="仿宋_GB2312" w:hAnsi="仿宋_GB2312" w:eastAsia="仿宋_GB2312" w:cs="仿宋_GB2312"/>
          <w:color w:val="auto"/>
          <w:sz w:val="32"/>
          <w:szCs w:val="32"/>
          <w:highlight w:val="none"/>
        </w:rPr>
        <w:t>主要负责农旅商贸产业的资源综合开发利用、招商</w:t>
      </w:r>
      <w:r>
        <w:rPr>
          <w:rFonts w:hint="eastAsia" w:ascii="仿宋_GB2312" w:hAnsi="仿宋_GB2312" w:eastAsia="仿宋_GB2312" w:cs="仿宋_GB2312"/>
          <w:color w:val="auto"/>
          <w:sz w:val="32"/>
          <w:szCs w:val="32"/>
          <w:highlight w:val="none"/>
          <w:lang w:val="en-US" w:eastAsia="zh-CN"/>
        </w:rPr>
        <w:t>及</w:t>
      </w:r>
      <w:r>
        <w:rPr>
          <w:rFonts w:hint="eastAsia" w:ascii="仿宋_GB2312" w:hAnsi="仿宋_GB2312" w:eastAsia="仿宋_GB2312" w:cs="仿宋_GB2312"/>
          <w:color w:val="auto"/>
          <w:sz w:val="32"/>
          <w:szCs w:val="32"/>
          <w:highlight w:val="none"/>
        </w:rPr>
        <w:t>农旅商贸</w:t>
      </w:r>
      <w:r>
        <w:rPr>
          <w:rFonts w:hint="eastAsia" w:ascii="Times New Roman" w:hAnsi="Times New Roman" w:eastAsia="仿宋_GB2312" w:cs="Times New Roman"/>
          <w:color w:val="auto"/>
          <w:sz w:val="32"/>
          <w:szCs w:val="32"/>
          <w:highlight w:val="none"/>
        </w:rPr>
        <w:t>产业重大项目的投资、融资、建设</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rPr>
        <w:t>推动实施农旅商贸产业融合、创新发展，实现一、二、三产联动融合发展。</w:t>
      </w:r>
    </w:p>
    <w:p w14:paraId="03F06184">
      <w:pPr>
        <w:pStyle w:val="2"/>
        <w:keepNext w:val="0"/>
        <w:keepLines w:val="0"/>
        <w:pageBreakBefore w:val="0"/>
        <w:kinsoku/>
        <w:wordWrap/>
        <w:overflowPunct/>
        <w:topLinePunct w:val="0"/>
        <w:autoSpaceDE/>
        <w:autoSpaceDN/>
        <w:bidi w:val="0"/>
        <w:adjustRightInd/>
        <w:snapToGrid/>
        <w:spacing w:line="560" w:lineRule="exact"/>
        <w:ind w:left="0" w:firstLine="640" w:firstLineChars="200"/>
        <w:jc w:val="both"/>
        <w:textAlignment w:val="auto"/>
        <w:outlineLvl w:val="9"/>
        <w:rPr>
          <w:rFonts w:hint="default" w:ascii="Times New Roman" w:hAnsi="Times New Roman" w:eastAsia="楷体_GB2312" w:cs="Times New Roman"/>
          <w:color w:val="auto"/>
          <w:kern w:val="2"/>
          <w:sz w:val="32"/>
          <w:szCs w:val="32"/>
          <w:highlight w:val="none"/>
          <w:lang w:val="en-US" w:eastAsia="zh-CN" w:bidi="ar"/>
        </w:rPr>
      </w:pPr>
      <w:r>
        <w:rPr>
          <w:rFonts w:hint="default" w:ascii="Times New Roman" w:hAnsi="Times New Roman" w:eastAsia="楷体_GB2312" w:cs="Times New Roman"/>
          <w:color w:val="auto"/>
          <w:kern w:val="2"/>
          <w:sz w:val="32"/>
          <w:szCs w:val="32"/>
          <w:highlight w:val="none"/>
          <w:lang w:val="en-US" w:eastAsia="zh-CN" w:bidi="ar"/>
        </w:rPr>
        <w:t>（四）</w:t>
      </w:r>
      <w:r>
        <w:rPr>
          <w:rFonts w:hint="default" w:ascii="Times New Roman" w:hAnsi="Times New Roman" w:eastAsia="楷体_GB2312" w:cs="Times New Roman"/>
          <w:color w:val="auto"/>
          <w:sz w:val="32"/>
          <w:szCs w:val="32"/>
          <w:highlight w:val="none"/>
          <w:lang w:val="en-US" w:eastAsia="zh-CN"/>
        </w:rPr>
        <w:t>筠连产业发展集团有限公司</w:t>
      </w:r>
    </w:p>
    <w:p w14:paraId="6FBD209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shd w:val="clear" w:color="auto" w:fill="FFFFFF"/>
        </w:rPr>
      </w:pPr>
      <w:r>
        <w:rPr>
          <w:rFonts w:hint="eastAsia" w:ascii="仿宋_GB2312" w:hAnsi="仿宋_GB2312" w:eastAsia="仿宋_GB2312" w:cs="仿宋_GB2312"/>
          <w:color w:val="auto"/>
          <w:sz w:val="32"/>
          <w:szCs w:val="32"/>
          <w:highlight w:val="none"/>
        </w:rPr>
        <w:t>筠连产业发展集团有限公司（简称</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县产业发展集团</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）为筠连发展控股集团有限公司履行出资人职责的县属国有二级集团公司</w:t>
      </w:r>
      <w:r>
        <w:rPr>
          <w:rFonts w:hint="eastAsia" w:ascii="仿宋_GB2312" w:hAnsi="仿宋_GB2312" w:eastAsia="仿宋_GB2312" w:cs="仿宋_GB2312"/>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成立于2021年，注册资本金10亿元</w:t>
      </w: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截至2025年8月，集团资产总规模达153.21亿元</w:t>
      </w:r>
      <w:r>
        <w:rPr>
          <w:rFonts w:hint="eastAsia" w:ascii="仿宋_GB2312" w:hAnsi="仿宋_GB2312" w:eastAsia="仿宋_GB2312" w:cs="仿宋_GB2312"/>
          <w:color w:val="auto"/>
          <w:sz w:val="32"/>
          <w:szCs w:val="32"/>
          <w:highlight w:val="none"/>
        </w:rPr>
        <w:t>。主要负责全县产业融合发展建设</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运营管理</w:t>
      </w:r>
      <w:r>
        <w:rPr>
          <w:rFonts w:hint="eastAsia" w:ascii="仿宋_GB2312" w:hAnsi="仿宋_GB2312" w:eastAsia="仿宋_GB2312" w:cs="仿宋_GB2312"/>
          <w:color w:val="auto"/>
          <w:sz w:val="32"/>
          <w:szCs w:val="32"/>
          <w:highlight w:val="none"/>
          <w:lang w:val="en-US" w:eastAsia="zh-CN"/>
        </w:rPr>
        <w:t>及</w:t>
      </w:r>
      <w:r>
        <w:rPr>
          <w:rFonts w:hint="eastAsia" w:ascii="仿宋_GB2312" w:hAnsi="仿宋_GB2312" w:eastAsia="仿宋_GB2312" w:cs="仿宋_GB2312"/>
          <w:color w:val="auto"/>
          <w:sz w:val="32"/>
          <w:szCs w:val="32"/>
          <w:highlight w:val="none"/>
        </w:rPr>
        <w:t>园区基础设施的投资、建设、运营、管理；负责园区入驻企业的相关服务工作；负责机关企事业单位人才和人力</w:t>
      </w:r>
      <w:r>
        <w:rPr>
          <w:rFonts w:hint="eastAsia" w:ascii="Times New Roman" w:hAnsi="Times New Roman" w:eastAsia="仿宋_GB2312" w:cs="Times New Roman"/>
          <w:color w:val="auto"/>
          <w:sz w:val="32"/>
          <w:szCs w:val="32"/>
          <w:highlight w:val="none"/>
        </w:rPr>
        <w:t>资源服务。</w:t>
      </w:r>
    </w:p>
    <w:p w14:paraId="652EB2B5">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60" w:lineRule="exact"/>
        <w:ind w:left="0" w:firstLine="640" w:firstLineChars="200"/>
        <w:jc w:val="both"/>
        <w:textAlignment w:val="auto"/>
        <w:outlineLvl w:val="9"/>
        <w:rPr>
          <w:rFonts w:hint="default" w:ascii="Times New Roman" w:hAnsi="Times New Roman" w:eastAsia="楷体_GB2312" w:cs="Times New Roman"/>
          <w:color w:val="auto"/>
          <w:kern w:val="0"/>
          <w:sz w:val="32"/>
          <w:szCs w:val="32"/>
          <w:highlight w:val="none"/>
          <w:lang w:val="en-US" w:eastAsia="zh-CN"/>
        </w:rPr>
      </w:pPr>
      <w:r>
        <w:rPr>
          <w:rFonts w:hint="default" w:ascii="Times New Roman" w:hAnsi="Times New Roman" w:eastAsia="楷体_GB2312" w:cs="Times New Roman"/>
          <w:color w:val="auto"/>
          <w:kern w:val="0"/>
          <w:sz w:val="32"/>
          <w:szCs w:val="32"/>
          <w:highlight w:val="none"/>
          <w:lang w:val="en-US" w:eastAsia="zh-CN"/>
        </w:rPr>
        <w:t>（五）四川省筠州数字化转型创新发展科技集团有限公司</w:t>
      </w:r>
    </w:p>
    <w:p w14:paraId="305325C8">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outlineLvl w:val="9"/>
        <w:rPr>
          <w:rFonts w:hint="default" w:ascii="Times New Roman" w:hAnsi="Times New Roman" w:eastAsia="黑体" w:cs="Times New Roman"/>
          <w:color w:val="auto"/>
          <w:spacing w:val="-17"/>
          <w:kern w:val="0"/>
          <w:sz w:val="32"/>
          <w:szCs w:val="32"/>
          <w:highlight w:val="none"/>
          <w:lang w:val="en-US" w:eastAsia="zh-CN"/>
        </w:rPr>
        <w:sectPr>
          <w:footerReference r:id="rId3" w:type="default"/>
          <w:pgSz w:w="11906" w:h="16838"/>
          <w:pgMar w:top="1871" w:right="1474" w:bottom="1871" w:left="1587" w:header="851" w:footer="1417" w:gutter="0"/>
          <w:pgBorders>
            <w:top w:val="none" w:sz="0" w:space="0"/>
            <w:left w:val="none" w:sz="0" w:space="0"/>
            <w:bottom w:val="none" w:sz="0" w:space="0"/>
            <w:right w:val="none" w:sz="0" w:space="0"/>
          </w:pgBorders>
          <w:pgNumType w:fmt="numberInDash"/>
          <w:cols w:space="425" w:num="1"/>
          <w:docGrid w:type="lines" w:linePitch="312" w:charSpace="0"/>
        </w:sectPr>
      </w:pPr>
      <w:r>
        <w:rPr>
          <w:rFonts w:hint="eastAsia" w:ascii="仿宋_GB2312" w:hAnsi="仿宋_GB2312" w:eastAsia="仿宋_GB2312" w:cs="仿宋_GB2312"/>
          <w:color w:val="auto"/>
          <w:sz w:val="32"/>
          <w:szCs w:val="32"/>
          <w:highlight w:val="none"/>
        </w:rPr>
        <w:t>四川省筠州数字化转型创新发展科技集团有限公司（简称</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筠州数创集团</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）为筠连发展控股集团有限公司履行出资人职责的县属国有二级集团公司</w:t>
      </w:r>
      <w:r>
        <w:rPr>
          <w:rFonts w:hint="eastAsia" w:ascii="仿宋_GB2312" w:hAnsi="仿宋_GB2312" w:eastAsia="仿宋_GB2312" w:cs="仿宋_GB2312"/>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成立于2022年，注册资本金5亿元</w:t>
      </w:r>
      <w:r>
        <w:rPr>
          <w:rFonts w:hint="eastAsia" w:ascii="Times New Roman" w:hAnsi="Times New Roman" w:eastAsia="仿宋_GB2312" w:cs="Times New Roman"/>
          <w:color w:val="auto"/>
          <w:sz w:val="32"/>
          <w:szCs w:val="32"/>
          <w:highlight w:val="none"/>
        </w:rPr>
        <w:t>。</w:t>
      </w:r>
      <w:r>
        <w:rPr>
          <w:rFonts w:hint="eastAsia" w:ascii="Times New Roman" w:hAnsi="Times New Roman" w:eastAsia="仿宋_GB2312" w:cs="Times New Roman"/>
          <w:color w:val="auto"/>
          <w:sz w:val="32"/>
          <w:szCs w:val="32"/>
          <w:highlight w:val="none"/>
          <w:lang w:val="en-US" w:eastAsia="zh-CN"/>
        </w:rPr>
        <w:t>截至2025年8月，集团资产总规模达8.74亿元</w:t>
      </w:r>
      <w:r>
        <w:rPr>
          <w:rFonts w:hint="eastAsia" w:ascii="仿宋_GB2312" w:hAnsi="仿宋_GB2312" w:eastAsia="仿宋_GB2312" w:cs="仿宋_GB2312"/>
          <w:color w:val="auto"/>
          <w:sz w:val="32"/>
          <w:szCs w:val="32"/>
          <w:highlight w:val="none"/>
        </w:rPr>
        <w:t>。主要负责大数据产业园</w:t>
      </w:r>
      <w:r>
        <w:rPr>
          <w:rFonts w:hint="eastAsia" w:ascii="仿宋_GB2312" w:hAnsi="仿宋_GB2312" w:eastAsia="仿宋_GB2312" w:cs="仿宋_GB2312"/>
          <w:color w:val="auto"/>
          <w:sz w:val="32"/>
          <w:szCs w:val="32"/>
          <w:highlight w:val="none"/>
          <w:lang w:val="en-US" w:eastAsia="zh-CN"/>
        </w:rPr>
        <w:t>建设以及</w:t>
      </w:r>
      <w:r>
        <w:rPr>
          <w:rFonts w:hint="eastAsia" w:ascii="仿宋_GB2312" w:hAnsi="仿宋_GB2312" w:eastAsia="仿宋_GB2312" w:cs="仿宋_GB2312"/>
          <w:color w:val="auto"/>
          <w:sz w:val="32"/>
          <w:szCs w:val="32"/>
          <w:highlight w:val="none"/>
        </w:rPr>
        <w:t>全县大数据</w:t>
      </w:r>
      <w:r>
        <w:rPr>
          <w:rFonts w:hint="eastAsia" w:ascii="仿宋_GB2312" w:hAnsi="仿宋_GB2312" w:eastAsia="仿宋_GB2312" w:cs="仿宋_GB2312"/>
          <w:color w:val="auto"/>
          <w:sz w:val="32"/>
          <w:szCs w:val="32"/>
          <w:highlight w:val="none"/>
          <w:lang w:val="en-US" w:eastAsia="zh-CN"/>
        </w:rPr>
        <w:t>资源整合</w:t>
      </w:r>
      <w:r>
        <w:rPr>
          <w:rFonts w:hint="eastAsia" w:ascii="仿宋_GB2312" w:hAnsi="仿宋_GB2312" w:eastAsia="仿宋_GB2312" w:cs="仿宋_GB2312"/>
          <w:color w:val="auto"/>
          <w:sz w:val="32"/>
          <w:szCs w:val="32"/>
          <w:highlight w:val="none"/>
        </w:rPr>
        <w:t>共享开放应用工作，加速推进县域数字经济、数字社会、数字政府建设与发展；负责设计建设全县电商平台，打造县属农产品直播基地，推动县域智慧农业发展；负责融合全县数字媒体一体化，推动多领域深度合作</w:t>
      </w:r>
      <w:r>
        <w:rPr>
          <w:rFonts w:hint="eastAsia" w:ascii="Times New Roman" w:hAnsi="Times New Roman" w:eastAsia="仿宋_GB2312" w:cs="Times New Roman"/>
          <w:color w:val="auto"/>
          <w:sz w:val="32"/>
          <w:szCs w:val="32"/>
          <w:highlight w:val="none"/>
        </w:rPr>
        <w:t>。</w:t>
      </w:r>
    </w:p>
    <w:p w14:paraId="72A3F16A">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C11424">
    <w:pPr>
      <w:pStyle w:val="3"/>
      <w:tabs>
        <w:tab w:val="left" w:pos="6498"/>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2D29D44">
                          <w:pPr>
                            <w:pStyle w:val="3"/>
                            <w:rPr>
                              <w:rFonts w:hint="eastAsia" w:ascii="宋体" w:hAnsi="宋体" w:eastAsia="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- 5 -</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32D29D44">
                    <w:pPr>
                      <w:pStyle w:val="3"/>
                      <w:rPr>
                        <w:rFonts w:hint="eastAsia" w:ascii="宋体" w:hAnsi="宋体" w:eastAsia="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- 5 -</w:t>
                    </w:r>
                    <w:r>
                      <w:rPr>
                        <w:rFonts w:hint="eastAsia" w:ascii="宋体" w:hAnsi="宋体" w:cs="宋体"/>
                        <w:sz w:val="28"/>
                        <w:szCs w:val="28"/>
                      </w:rPr>
                      <w:fldChar w:fldCharType="end"/>
                    </w:r>
                  </w:p>
                </w:txbxContent>
              </v:textbox>
            </v:shape>
          </w:pict>
        </mc:Fallback>
      </mc:AlternateConten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6B41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Plain Text"/>
    <w:basedOn w:val="1"/>
    <w:qFormat/>
    <w:uiPriority w:val="99"/>
    <w:rPr>
      <w:rFonts w:ascii="宋体" w:hAnsi="Courier New"/>
      <w:szCs w:val="21"/>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小北</cp:lastModifiedBy>
  <dcterms:modified xsi:type="dcterms:W3CDTF">2025-10-29T09:10:12Z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eyJoZGlkIjoiYWYwNzA2ODAzNjQxMWUyODc5NmJjZDMyMjljOTZlNTYiLCJ1c2VySWQiOiIxNDY5Mjk1Mzk3In0=</vt:lpwstr>
  </property>
  <property fmtid="{D5CDD505-2E9C-101B-9397-08002B2CF9AE}" pid="4" name="ICV">
    <vt:lpwstr>8CAA85C8F6E649F2B4747292BA505D68_12</vt:lpwstr>
  </property>
</Properties>
</file>